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938"/>
        <w:gridCol w:w="2975"/>
      </w:tblGrid>
      <w:tr w:rsidR="00926A96" w:rsidTr="007C692A">
        <w:tc>
          <w:tcPr>
            <w:tcW w:w="2840" w:type="dxa"/>
          </w:tcPr>
          <w:p w:rsidR="00926A96" w:rsidRDefault="00926A96" w:rsidP="00926A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nl-BE" w:eastAsia="nl-BE"/>
              </w:rPr>
              <w:drawing>
                <wp:inline distT="0" distB="0" distL="0" distR="0" wp14:anchorId="15E5DBDC" wp14:editId="2E30359B">
                  <wp:extent cx="605504" cy="446137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540" cy="44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</w:tcPr>
          <w:p w:rsidR="00926A96" w:rsidRDefault="00926A96" w:rsidP="00926A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nl-BE" w:eastAsia="nl-BE"/>
              </w:rPr>
              <w:drawing>
                <wp:inline distT="0" distB="0" distL="0" distR="0" wp14:anchorId="0A853502" wp14:editId="334F3BF5">
                  <wp:extent cx="509280" cy="504884"/>
                  <wp:effectExtent l="0" t="0" r="508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857" cy="50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</w:tcPr>
          <w:p w:rsidR="00926A96" w:rsidRDefault="00926A96" w:rsidP="00926A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nl-BE" w:eastAsia="nl-BE"/>
              </w:rPr>
              <w:drawing>
                <wp:inline distT="0" distB="0" distL="0" distR="0" wp14:anchorId="01BC029F" wp14:editId="24BD2E5C">
                  <wp:extent cx="870342" cy="337606"/>
                  <wp:effectExtent l="0" t="0" r="635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ILE_logo_origina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919" cy="339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A96" w:rsidRDefault="00926A96" w:rsidP="00926A96">
      <w:pPr>
        <w:jc w:val="center"/>
        <w:rPr>
          <w:b/>
          <w:sz w:val="32"/>
          <w:szCs w:val="32"/>
        </w:rPr>
      </w:pPr>
    </w:p>
    <w:p w:rsidR="00926A96" w:rsidRDefault="00B65473" w:rsidP="007C692A">
      <w:pPr>
        <w:spacing w:after="0"/>
        <w:jc w:val="center"/>
        <w:rPr>
          <w:b/>
          <w:sz w:val="32"/>
          <w:szCs w:val="32"/>
        </w:rPr>
      </w:pPr>
      <w:r w:rsidRPr="00926A96">
        <w:rPr>
          <w:b/>
          <w:sz w:val="32"/>
          <w:szCs w:val="32"/>
        </w:rPr>
        <w:t xml:space="preserve">CEN/TC 287 AWARD </w:t>
      </w:r>
    </w:p>
    <w:p w:rsidR="00926A96" w:rsidRDefault="00770EC2" w:rsidP="007C692A">
      <w:pPr>
        <w:spacing w:after="0"/>
        <w:jc w:val="center"/>
        <w:rPr>
          <w:b/>
          <w:sz w:val="32"/>
          <w:szCs w:val="32"/>
        </w:rPr>
      </w:pPr>
      <w:r w:rsidRPr="00926A96">
        <w:rPr>
          <w:b/>
          <w:sz w:val="32"/>
          <w:szCs w:val="32"/>
        </w:rPr>
        <w:t xml:space="preserve">for Excellence </w:t>
      </w:r>
      <w:r w:rsidR="000F7C28" w:rsidRPr="00926A96">
        <w:rPr>
          <w:b/>
          <w:sz w:val="32"/>
          <w:szCs w:val="32"/>
        </w:rPr>
        <w:t xml:space="preserve">and Innovation </w:t>
      </w:r>
      <w:r w:rsidR="00926A96">
        <w:rPr>
          <w:b/>
          <w:sz w:val="32"/>
          <w:szCs w:val="32"/>
        </w:rPr>
        <w:t>in INSPIRE</w:t>
      </w:r>
    </w:p>
    <w:p w:rsidR="00B65473" w:rsidRPr="00926A96" w:rsidRDefault="00770EC2" w:rsidP="007C692A">
      <w:pPr>
        <w:spacing w:after="0"/>
        <w:jc w:val="center"/>
        <w:rPr>
          <w:b/>
          <w:sz w:val="32"/>
          <w:szCs w:val="32"/>
        </w:rPr>
      </w:pPr>
      <w:r w:rsidRPr="00926A96">
        <w:rPr>
          <w:b/>
          <w:sz w:val="32"/>
          <w:szCs w:val="32"/>
        </w:rPr>
        <w:t>2013</w:t>
      </w:r>
    </w:p>
    <w:p w:rsidR="007C692A" w:rsidRDefault="007C692A" w:rsidP="007C692A">
      <w:pPr>
        <w:jc w:val="both"/>
      </w:pPr>
    </w:p>
    <w:p w:rsidR="00770EC2" w:rsidRDefault="00A0174D" w:rsidP="007C692A">
      <w:pPr>
        <w:jc w:val="both"/>
      </w:pPr>
      <w:r>
        <w:t xml:space="preserve">Since 2011, the </w:t>
      </w:r>
      <w:r w:rsidRPr="00A0174D">
        <w:t>Technical Committee “Geographic information”</w:t>
      </w:r>
      <w:r w:rsidR="000F7C28">
        <w:t xml:space="preserve"> </w:t>
      </w:r>
      <w:r w:rsidR="007C692A">
        <w:t xml:space="preserve">of the </w:t>
      </w:r>
      <w:r w:rsidR="000F7C28">
        <w:t>European Committee for Standardization, CEN/TC 287</w:t>
      </w:r>
      <w:r w:rsidR="007C692A">
        <w:t>,</w:t>
      </w:r>
      <w:r w:rsidR="000F7C28">
        <w:t xml:space="preserve"> organises the AWARD for Academic Excellence and Innovation in INSPIRE.</w:t>
      </w:r>
      <w:r w:rsidRPr="00A0174D">
        <w:t xml:space="preserve"> </w:t>
      </w:r>
      <w:r w:rsidR="000F7C28">
        <w:t>This year, the AWARD will follow</w:t>
      </w:r>
      <w:r w:rsidR="00B934BE">
        <w:t xml:space="preserve"> two tracks. It </w:t>
      </w:r>
      <w:r w:rsidR="00B65473">
        <w:t>welcomes applications from students attending academic institutions within Europe</w:t>
      </w:r>
      <w:r w:rsidR="00770EC2">
        <w:t xml:space="preserve">, and for the first time </w:t>
      </w:r>
      <w:r w:rsidR="00B934BE">
        <w:t xml:space="preserve">also </w:t>
      </w:r>
      <w:r w:rsidR="00770EC2">
        <w:t>from S</w:t>
      </w:r>
      <w:r>
        <w:t xml:space="preserve">mall &amp; </w:t>
      </w:r>
      <w:r w:rsidR="00770EC2">
        <w:t>M</w:t>
      </w:r>
      <w:r>
        <w:t xml:space="preserve">edium </w:t>
      </w:r>
      <w:r w:rsidR="00770EC2">
        <w:t>E</w:t>
      </w:r>
      <w:r>
        <w:t>nterprise</w:t>
      </w:r>
      <w:r w:rsidR="00770EC2">
        <w:t xml:space="preserve">s </w:t>
      </w:r>
      <w:r w:rsidR="000F7C28">
        <w:t xml:space="preserve">(SME’s) </w:t>
      </w:r>
      <w:r w:rsidR="00770EC2">
        <w:t xml:space="preserve">who </w:t>
      </w:r>
      <w:r w:rsidR="00B934BE">
        <w:t>perform innovative</w:t>
      </w:r>
      <w:r w:rsidR="00770EC2">
        <w:t xml:space="preserve"> </w:t>
      </w:r>
      <w:r w:rsidR="00B934BE">
        <w:t xml:space="preserve">activities </w:t>
      </w:r>
      <w:r w:rsidR="00770EC2">
        <w:t xml:space="preserve">in </w:t>
      </w:r>
      <w:r w:rsidR="00B934BE">
        <w:t xml:space="preserve">the field of </w:t>
      </w:r>
      <w:r w:rsidR="00770EC2">
        <w:t>INSPIRE and SDI development</w:t>
      </w:r>
      <w:r w:rsidR="00B65473">
        <w:t xml:space="preserve">. </w:t>
      </w:r>
    </w:p>
    <w:p w:rsidR="00B934BE" w:rsidRDefault="00B65473" w:rsidP="007C692A">
      <w:pPr>
        <w:jc w:val="both"/>
      </w:pPr>
      <w:r>
        <w:t xml:space="preserve">This award, now in its third year, aims </w:t>
      </w:r>
    </w:p>
    <w:p w:rsidR="00B934BE" w:rsidRDefault="00B934BE" w:rsidP="007C692A">
      <w:pPr>
        <w:pStyle w:val="ListParagraph"/>
        <w:numPr>
          <w:ilvl w:val="0"/>
          <w:numId w:val="1"/>
        </w:numPr>
        <w:ind w:left="284" w:hanging="284"/>
        <w:jc w:val="both"/>
      </w:pPr>
      <w:r>
        <w:t>T</w:t>
      </w:r>
      <w:r w:rsidR="00B65473">
        <w:t xml:space="preserve">o promote academic excellence within the European geospatial community, specifically in development of interoperability standards and the application or improvement of such standards. </w:t>
      </w:r>
    </w:p>
    <w:p w:rsidR="00B934BE" w:rsidRDefault="00B934BE" w:rsidP="007C692A">
      <w:pPr>
        <w:pStyle w:val="ListParagraph"/>
        <w:numPr>
          <w:ilvl w:val="0"/>
          <w:numId w:val="1"/>
        </w:numPr>
        <w:ind w:left="284" w:hanging="284"/>
        <w:jc w:val="both"/>
      </w:pPr>
      <w:r>
        <w:t>To promote the application of innovative solutions by SME’s to facilitate the development of INSPIRE and the creation of value added applications and services on top of it.</w:t>
      </w:r>
    </w:p>
    <w:p w:rsidR="00B934BE" w:rsidRDefault="00B934BE" w:rsidP="007C692A">
      <w:pPr>
        <w:jc w:val="both"/>
      </w:pPr>
      <w:r>
        <w:t xml:space="preserve">CEN/TC 287 seeks to acknowledge the outstanding efforts of students and private industry, especially SME’s, in the area of geospatial interoperability and data sharing. The </w:t>
      </w:r>
      <w:r w:rsidR="008308DD">
        <w:t>AWARD</w:t>
      </w:r>
      <w:r>
        <w:t xml:space="preserve"> is open to all students and SME’s undertaking a research </w:t>
      </w:r>
      <w:r w:rsidR="0047394F">
        <w:t xml:space="preserve">or development </w:t>
      </w:r>
      <w:r>
        <w:t xml:space="preserve">project in geospatial information. Students must submit the work in the form of a research paper, a position paper or similar. SME’s must </w:t>
      </w:r>
      <w:r w:rsidR="0047394F">
        <w:t xml:space="preserve">submit the work in the form of a paper, report, … and </w:t>
      </w:r>
      <w:r>
        <w:t>provide access to their application or service.</w:t>
      </w:r>
    </w:p>
    <w:p w:rsidR="007C692A" w:rsidRDefault="00B65473" w:rsidP="007C692A">
      <w:pPr>
        <w:jc w:val="both"/>
      </w:pPr>
      <w:r>
        <w:t xml:space="preserve">The Association of Geographic Information Laboratories in Europe (AGILE) </w:t>
      </w:r>
      <w:r w:rsidR="004C7584">
        <w:t>will</w:t>
      </w:r>
      <w:r w:rsidR="0047394F">
        <w:t xml:space="preserve"> run </w:t>
      </w:r>
      <w:r>
        <w:t>the evaluation process.</w:t>
      </w:r>
      <w:r w:rsidR="00B934BE">
        <w:t xml:space="preserve"> </w:t>
      </w:r>
      <w:r w:rsidR="0047394F">
        <w:t xml:space="preserve">There will be two awards: one (1) for the best academic work and one (1) for the most innovative SME. </w:t>
      </w:r>
      <w:r>
        <w:t xml:space="preserve">The </w:t>
      </w:r>
      <w:r w:rsidR="0047394F">
        <w:t xml:space="preserve">two </w:t>
      </w:r>
      <w:r>
        <w:t>successful candidate</w:t>
      </w:r>
      <w:r w:rsidR="0047394F">
        <w:t>s</w:t>
      </w:r>
      <w:r>
        <w:t xml:space="preserve"> with the winning submission will </w:t>
      </w:r>
      <w:r w:rsidR="0047394F">
        <w:t xml:space="preserve">each </w:t>
      </w:r>
      <w:r>
        <w:t>receive €</w:t>
      </w:r>
      <w:r w:rsidR="00791BBB">
        <w:t>2500</w:t>
      </w:r>
      <w:r>
        <w:t xml:space="preserve">. </w:t>
      </w:r>
      <w:r w:rsidR="0047394F">
        <w:t>The</w:t>
      </w:r>
      <w:r>
        <w:t xml:space="preserve"> </w:t>
      </w:r>
      <w:r w:rsidR="008308DD">
        <w:t>AWARD</w:t>
      </w:r>
      <w:r>
        <w:t xml:space="preserve"> is sponsored </w:t>
      </w:r>
      <w:r w:rsidR="00926A96">
        <w:t xml:space="preserve">and supported </w:t>
      </w:r>
      <w:r>
        <w:t>by SPARX SYSTEMS Pty Ltd</w:t>
      </w:r>
      <w:r w:rsidR="00926A96">
        <w:rPr>
          <w:rStyle w:val="FootnoteReference"/>
        </w:rPr>
        <w:footnoteReference w:id="1"/>
      </w:r>
      <w:r w:rsidR="008308DD">
        <w:t xml:space="preserve">, the developers and distributors of the Enterprise Architect software, by </w:t>
      </w:r>
      <w:proofErr w:type="spellStart"/>
      <w:r w:rsidR="008308DD">
        <w:t>smeSpire</w:t>
      </w:r>
      <w:proofErr w:type="spellEnd"/>
      <w:r w:rsidR="00926A96">
        <w:rPr>
          <w:rStyle w:val="FootnoteReference"/>
        </w:rPr>
        <w:footnoteReference w:id="2"/>
      </w:r>
      <w:r w:rsidR="008308DD">
        <w:t xml:space="preserve">, an EU </w:t>
      </w:r>
      <w:r w:rsidR="008308DD" w:rsidRPr="00926A96">
        <w:t>FP7 Support Action</w:t>
      </w:r>
      <w:r w:rsidR="008308DD">
        <w:t xml:space="preserve">, and by </w:t>
      </w:r>
      <w:proofErr w:type="spellStart"/>
      <w:r w:rsidR="00BD1E7E" w:rsidRPr="00BD1E7E">
        <w:t>GiStandards</w:t>
      </w:r>
      <w:proofErr w:type="spellEnd"/>
      <w:r w:rsidR="00BD1E7E" w:rsidRPr="00BD1E7E">
        <w:t xml:space="preserve"> Ltd</w:t>
      </w:r>
      <w:r w:rsidR="008308DD">
        <w:rPr>
          <w:rStyle w:val="FootnoteReference"/>
        </w:rPr>
        <w:footnoteReference w:id="3"/>
      </w:r>
      <w:r w:rsidR="008308DD">
        <w:t>, a SME active in the geospatial standardisation sector</w:t>
      </w:r>
      <w:r>
        <w:t>. The winner will receive the prize at the INSPIRE conference which will take place</w:t>
      </w:r>
      <w:r w:rsidR="0047394F">
        <w:t xml:space="preserve"> </w:t>
      </w:r>
      <w:r w:rsidR="001F5B25">
        <w:t>between 23 and 27 June 2013, in Florence.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2892"/>
        <w:gridCol w:w="2893"/>
      </w:tblGrid>
      <w:tr w:rsidR="007C692A" w:rsidTr="007C692A">
        <w:tc>
          <w:tcPr>
            <w:tcW w:w="2892" w:type="dxa"/>
          </w:tcPr>
          <w:p w:rsidR="007C692A" w:rsidRDefault="0047394F" w:rsidP="007C692A">
            <w:pPr>
              <w:jc w:val="both"/>
            </w:pPr>
            <w:r>
              <w:t xml:space="preserve"> </w:t>
            </w:r>
            <w:r w:rsidR="00600823">
              <w:rPr>
                <w:noProof/>
                <w:lang w:val="nl-BE" w:eastAsia="nl-BE"/>
              </w:rPr>
              <w:drawing>
                <wp:inline distT="0" distB="0" distL="0" distR="0" wp14:anchorId="0D1F057E" wp14:editId="7A226D11">
                  <wp:extent cx="403907" cy="330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S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47" cy="330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</w:tcPr>
          <w:p w:rsidR="007C692A" w:rsidRDefault="00600823" w:rsidP="00600823">
            <w:r>
              <w:rPr>
                <w:noProof/>
                <w:lang w:val="nl-BE" w:eastAsia="nl-BE"/>
              </w:rPr>
              <w:drawing>
                <wp:inline distT="0" distB="0" distL="0" distR="0" wp14:anchorId="15BF2226" wp14:editId="608DD575">
                  <wp:extent cx="1094105" cy="24701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</w:tcPr>
          <w:p w:rsidR="007C692A" w:rsidRDefault="00600823" w:rsidP="007C692A">
            <w:pPr>
              <w:jc w:val="right"/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C42D88C" wp14:editId="6B7A540A">
                  <wp:extent cx="1314547" cy="355471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_all_disseminati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85" cy="35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473" w:rsidRPr="007C692A" w:rsidRDefault="00B65473" w:rsidP="00FF4DDF">
      <w:pPr>
        <w:rPr>
          <w:b/>
        </w:rPr>
      </w:pPr>
      <w:r w:rsidRPr="007C692A">
        <w:rPr>
          <w:b/>
        </w:rPr>
        <w:lastRenderedPageBreak/>
        <w:t>Administrative process and timeline</w:t>
      </w:r>
    </w:p>
    <w:p w:rsidR="00B65473" w:rsidRDefault="00B65473" w:rsidP="007C692A">
      <w:pPr>
        <w:jc w:val="both"/>
      </w:pPr>
      <w:r>
        <w:t xml:space="preserve">1) Submit by 15 April 2013 your </w:t>
      </w:r>
      <w:r w:rsidR="007C692A">
        <w:t>work (</w:t>
      </w:r>
      <w:r w:rsidR="00A0174D">
        <w:t>paper/report</w:t>
      </w:r>
      <w:r w:rsidR="007C692A">
        <w:t>)</w:t>
      </w:r>
      <w:r>
        <w:t xml:space="preserve"> </w:t>
      </w:r>
      <w:r w:rsidR="00A0174D">
        <w:t xml:space="preserve">electronically </w:t>
      </w:r>
      <w:r>
        <w:t xml:space="preserve">including an abstract of maximum 500 words to </w:t>
      </w:r>
      <w:hyperlink r:id="rId15" w:history="1">
        <w:r w:rsidRPr="00F909BB">
          <w:rPr>
            <w:rStyle w:val="Hyperlink"/>
          </w:rPr>
          <w:t>award@gistandards.eu</w:t>
        </w:r>
      </w:hyperlink>
      <w:r>
        <w:t xml:space="preserve">. You will be contacted within 15 days and advised whether you have been accepted to proceed to the next stage. </w:t>
      </w:r>
    </w:p>
    <w:p w:rsidR="00B65473" w:rsidRDefault="00770EC2" w:rsidP="007C692A">
      <w:pPr>
        <w:jc w:val="both"/>
      </w:pPr>
      <w:r>
        <w:t>2</w:t>
      </w:r>
      <w:r w:rsidR="00B65473">
        <w:t xml:space="preserve">) </w:t>
      </w:r>
      <w:r>
        <w:t xml:space="preserve">AGILE will set-up a small selection committee to review the submissions. The work that is considered of highest quality, </w:t>
      </w:r>
      <w:r w:rsidR="001F5B25">
        <w:t xml:space="preserve">and that is </w:t>
      </w:r>
      <w:r>
        <w:t xml:space="preserve">most innovative will be selected. </w:t>
      </w:r>
      <w:r w:rsidR="00B65473">
        <w:t xml:space="preserve"> </w:t>
      </w:r>
    </w:p>
    <w:p w:rsidR="00B65473" w:rsidRPr="007C692A" w:rsidRDefault="00B65473" w:rsidP="007C692A">
      <w:pPr>
        <w:jc w:val="both"/>
        <w:rPr>
          <w:b/>
        </w:rPr>
      </w:pPr>
      <w:bookmarkStart w:id="0" w:name="_GoBack"/>
      <w:bookmarkEnd w:id="0"/>
      <w:r w:rsidRPr="007C692A">
        <w:rPr>
          <w:b/>
        </w:rPr>
        <w:t>Criteria</w:t>
      </w:r>
    </w:p>
    <w:p w:rsidR="00B65473" w:rsidRDefault="00B65473" w:rsidP="007C692A">
      <w:pPr>
        <w:jc w:val="both"/>
      </w:pPr>
      <w:r>
        <w:t>The received proposals will be reviewed and ranked based on the following criteria:</w:t>
      </w:r>
    </w:p>
    <w:p w:rsidR="00B65473" w:rsidRDefault="00B65473" w:rsidP="007C692A">
      <w:pPr>
        <w:jc w:val="both"/>
      </w:pPr>
      <w:r>
        <w:t>a) originality (i.e. novelty, degree of innovation);</w:t>
      </w:r>
    </w:p>
    <w:p w:rsidR="00B65473" w:rsidRDefault="00B65473" w:rsidP="007C692A">
      <w:pPr>
        <w:jc w:val="both"/>
      </w:pPr>
      <w:r>
        <w:t>b) technical quality (i.e. thoroughness, completeness, identification of issues and recommended solutions);</w:t>
      </w:r>
    </w:p>
    <w:p w:rsidR="00B65473" w:rsidRDefault="00B65473" w:rsidP="007C692A">
      <w:pPr>
        <w:jc w:val="both"/>
      </w:pPr>
      <w:r>
        <w:t>c) relevance to the scope of INSPIRE;</w:t>
      </w:r>
    </w:p>
    <w:p w:rsidR="00B65473" w:rsidRDefault="00B65473" w:rsidP="007C692A">
      <w:pPr>
        <w:jc w:val="both"/>
      </w:pPr>
      <w:r>
        <w:t>d) relevance to standardization in the field of geospatial information;</w:t>
      </w:r>
    </w:p>
    <w:p w:rsidR="00A0174D" w:rsidRDefault="00B65473" w:rsidP="007C692A">
      <w:pPr>
        <w:jc w:val="both"/>
      </w:pPr>
      <w:r>
        <w:t>e) use of UML</w:t>
      </w:r>
      <w:r w:rsidR="00AC14BE">
        <w:rPr>
          <w:rStyle w:val="FootnoteReference"/>
        </w:rPr>
        <w:footnoteReference w:id="4"/>
      </w:r>
      <w:r w:rsidR="001139A7">
        <w:t>;</w:t>
      </w:r>
      <w:r>
        <w:t xml:space="preserve"> </w:t>
      </w:r>
    </w:p>
    <w:p w:rsidR="00B65473" w:rsidRDefault="00B65473" w:rsidP="007C692A">
      <w:pPr>
        <w:jc w:val="both"/>
      </w:pPr>
      <w:r>
        <w:t>f) presentation (i.e. clarity, readability).</w:t>
      </w:r>
    </w:p>
    <w:sectPr w:rsidR="00B65473" w:rsidSect="007C692A">
      <w:pgSz w:w="11906" w:h="16838" w:code="9"/>
      <w:pgMar w:top="1418" w:right="1418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96" w:rsidRDefault="00B20B96" w:rsidP="00A0174D">
      <w:pPr>
        <w:spacing w:after="0" w:line="240" w:lineRule="auto"/>
      </w:pPr>
      <w:r>
        <w:separator/>
      </w:r>
    </w:p>
  </w:endnote>
  <w:endnote w:type="continuationSeparator" w:id="0">
    <w:p w:rsidR="00B20B96" w:rsidRDefault="00B20B96" w:rsidP="00A0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96" w:rsidRDefault="00B20B96" w:rsidP="00A0174D">
      <w:pPr>
        <w:spacing w:after="0" w:line="240" w:lineRule="auto"/>
      </w:pPr>
      <w:r>
        <w:separator/>
      </w:r>
    </w:p>
  </w:footnote>
  <w:footnote w:type="continuationSeparator" w:id="0">
    <w:p w:rsidR="00B20B96" w:rsidRDefault="00B20B96" w:rsidP="00A0174D">
      <w:pPr>
        <w:spacing w:after="0" w:line="240" w:lineRule="auto"/>
      </w:pPr>
      <w:r>
        <w:continuationSeparator/>
      </w:r>
    </w:p>
  </w:footnote>
  <w:footnote w:id="1">
    <w:p w:rsidR="00926A96" w:rsidRPr="00926A96" w:rsidRDefault="00926A96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Pr="002360A8">
          <w:rPr>
            <w:rStyle w:val="Hyperlink"/>
          </w:rPr>
          <w:t>http://www.sparxsystems.com.au/</w:t>
        </w:r>
      </w:hyperlink>
    </w:p>
  </w:footnote>
  <w:footnote w:id="2">
    <w:p w:rsidR="00926A96" w:rsidRPr="00926A96" w:rsidRDefault="00926A96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2" w:history="1">
        <w:r w:rsidRPr="002360A8">
          <w:rPr>
            <w:rStyle w:val="Hyperlink"/>
          </w:rPr>
          <w:t>http://www.smespire.eu</w:t>
        </w:r>
      </w:hyperlink>
      <w:r>
        <w:t xml:space="preserve"> </w:t>
      </w:r>
    </w:p>
  </w:footnote>
  <w:footnote w:id="3">
    <w:p w:rsidR="008308DD" w:rsidRPr="00AC14BE" w:rsidRDefault="008308D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C14BE">
        <w:rPr>
          <w:lang w:val="en-US"/>
        </w:rPr>
        <w:t xml:space="preserve">See </w:t>
      </w:r>
      <w:hyperlink r:id="rId3" w:history="1">
        <w:r w:rsidRPr="00AC14BE">
          <w:rPr>
            <w:rStyle w:val="Hyperlink"/>
            <w:lang w:val="en-US"/>
          </w:rPr>
          <w:t>http://www.gistandards.eu</w:t>
        </w:r>
      </w:hyperlink>
      <w:r w:rsidRPr="00AC14BE">
        <w:rPr>
          <w:lang w:val="en-US"/>
        </w:rPr>
        <w:t xml:space="preserve"> </w:t>
      </w:r>
    </w:p>
  </w:footnote>
  <w:footnote w:id="4">
    <w:p w:rsidR="00AC14BE" w:rsidRPr="005214BE" w:rsidRDefault="00AC14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214BE">
        <w:t xml:space="preserve">For academic institutions </w:t>
      </w:r>
      <w:r w:rsidR="005214BE" w:rsidRPr="005214BE">
        <w:t>Enterprise Architect is available at no cost for the purpose of this award</w:t>
      </w:r>
      <w:r w:rsidR="005214B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5424"/>
    <w:multiLevelType w:val="hybridMultilevel"/>
    <w:tmpl w:val="50682AA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73"/>
    <w:rsid w:val="000C0AE6"/>
    <w:rsid w:val="000F7C28"/>
    <w:rsid w:val="001139A7"/>
    <w:rsid w:val="00166957"/>
    <w:rsid w:val="001D608F"/>
    <w:rsid w:val="001F5B25"/>
    <w:rsid w:val="001F7F9D"/>
    <w:rsid w:val="00313104"/>
    <w:rsid w:val="00372157"/>
    <w:rsid w:val="00393D09"/>
    <w:rsid w:val="003D43C5"/>
    <w:rsid w:val="003D5175"/>
    <w:rsid w:val="003E017A"/>
    <w:rsid w:val="00407121"/>
    <w:rsid w:val="004131C3"/>
    <w:rsid w:val="00421688"/>
    <w:rsid w:val="0047394F"/>
    <w:rsid w:val="004C7584"/>
    <w:rsid w:val="004D5996"/>
    <w:rsid w:val="005214BE"/>
    <w:rsid w:val="00596555"/>
    <w:rsid w:val="00600823"/>
    <w:rsid w:val="00636791"/>
    <w:rsid w:val="00770EC2"/>
    <w:rsid w:val="00791BBB"/>
    <w:rsid w:val="007C692A"/>
    <w:rsid w:val="007E488D"/>
    <w:rsid w:val="007E49CC"/>
    <w:rsid w:val="00824102"/>
    <w:rsid w:val="008308DD"/>
    <w:rsid w:val="0084612C"/>
    <w:rsid w:val="008578DD"/>
    <w:rsid w:val="008670F7"/>
    <w:rsid w:val="008B1647"/>
    <w:rsid w:val="008E420A"/>
    <w:rsid w:val="00926A96"/>
    <w:rsid w:val="0094052A"/>
    <w:rsid w:val="0097292F"/>
    <w:rsid w:val="00975D06"/>
    <w:rsid w:val="009A7BA3"/>
    <w:rsid w:val="00A0174D"/>
    <w:rsid w:val="00A73471"/>
    <w:rsid w:val="00AC14BE"/>
    <w:rsid w:val="00B20B96"/>
    <w:rsid w:val="00B65473"/>
    <w:rsid w:val="00B934BE"/>
    <w:rsid w:val="00B951DA"/>
    <w:rsid w:val="00BB6ACF"/>
    <w:rsid w:val="00BD1E7E"/>
    <w:rsid w:val="00CB2796"/>
    <w:rsid w:val="00CF1C41"/>
    <w:rsid w:val="00CF25F8"/>
    <w:rsid w:val="00D10B8A"/>
    <w:rsid w:val="00D17024"/>
    <w:rsid w:val="00D6024B"/>
    <w:rsid w:val="00D921F4"/>
    <w:rsid w:val="00E633CD"/>
    <w:rsid w:val="00E65633"/>
    <w:rsid w:val="00EE1BFA"/>
    <w:rsid w:val="00F22EFE"/>
    <w:rsid w:val="00F67ACC"/>
    <w:rsid w:val="00F709B5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4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4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B2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B2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25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7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7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0174D"/>
    <w:rPr>
      <w:vertAlign w:val="superscript"/>
    </w:rPr>
  </w:style>
  <w:style w:type="table" w:styleId="TableGrid">
    <w:name w:val="Table Grid"/>
    <w:basedOn w:val="TableNormal"/>
    <w:uiPriority w:val="59"/>
    <w:rsid w:val="0092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4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4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B2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B2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25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7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7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0174D"/>
    <w:rPr>
      <w:vertAlign w:val="superscript"/>
    </w:rPr>
  </w:style>
  <w:style w:type="table" w:styleId="TableGrid">
    <w:name w:val="Table Grid"/>
    <w:basedOn w:val="TableNormal"/>
    <w:uiPriority w:val="59"/>
    <w:rsid w:val="0092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award@gistandards.eu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standards.eu" TargetMode="External"/><Relationship Id="rId2" Type="http://schemas.openxmlformats.org/officeDocument/2006/relationships/hyperlink" Target="http://www.smespire.eu" TargetMode="External"/><Relationship Id="rId1" Type="http://schemas.openxmlformats.org/officeDocument/2006/relationships/hyperlink" Target="http://www.sparxsystem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2CCE-D2A7-4F62-BD78-772443AB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Vandenbroucke</dc:creator>
  <cp:lastModifiedBy>Danny Vandenbroucke</cp:lastModifiedBy>
  <cp:revision>2</cp:revision>
  <cp:lastPrinted>2013-02-12T10:54:00Z</cp:lastPrinted>
  <dcterms:created xsi:type="dcterms:W3CDTF">2013-02-21T19:16:00Z</dcterms:created>
  <dcterms:modified xsi:type="dcterms:W3CDTF">2013-02-21T19:16:00Z</dcterms:modified>
</cp:coreProperties>
</file>